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F1E1C" w14:textId="77777777" w:rsidR="00225EA1" w:rsidRDefault="00225EA1">
      <w:pPr>
        <w:spacing w:after="0" w:line="200" w:lineRule="atLeast"/>
        <w:jc w:val="right"/>
        <w:rPr>
          <w:rFonts w:ascii="Times New Roman" w:eastAsia="Arial" w:hAnsi="Times New Roman" w:cs="Times New Roman"/>
          <w:b/>
          <w:sz w:val="20"/>
        </w:rPr>
      </w:pPr>
    </w:p>
    <w:p w14:paraId="1542EA5F" w14:textId="77777777" w:rsidR="00225EA1" w:rsidRDefault="00225EA1">
      <w:pPr>
        <w:spacing w:after="0" w:line="200" w:lineRule="atLeast"/>
        <w:jc w:val="right"/>
        <w:rPr>
          <w:rFonts w:ascii="Times New Roman" w:eastAsia="Arial" w:hAnsi="Times New Roman" w:cs="Times New Roman"/>
          <w:b/>
          <w:sz w:val="20"/>
        </w:rPr>
      </w:pPr>
    </w:p>
    <w:p w14:paraId="4325FBF4" w14:textId="77777777" w:rsidR="00225EA1" w:rsidRDefault="00140D17">
      <w:pPr>
        <w:spacing w:after="0" w:line="200" w:lineRule="atLeast"/>
        <w:jc w:val="right"/>
        <w:rPr>
          <w:rFonts w:ascii="Times New Roman" w:eastAsia="Arial" w:hAnsi="Times New Roman" w:cs="Times New Roman"/>
          <w:b/>
          <w:sz w:val="20"/>
        </w:rPr>
      </w:pPr>
      <w:r>
        <w:rPr>
          <w:rFonts w:ascii="Times New Roman" w:eastAsia="Arial" w:hAnsi="Times New Roman" w:cs="Times New Roman"/>
          <w:b/>
          <w:sz w:val="20"/>
        </w:rPr>
        <w:t xml:space="preserve">Załącznik nr 2 </w:t>
      </w:r>
    </w:p>
    <w:p w14:paraId="233F9762" w14:textId="77777777" w:rsidR="00225EA1" w:rsidRDefault="00225EA1">
      <w:pPr>
        <w:spacing w:after="0" w:line="200" w:lineRule="atLeast"/>
        <w:ind w:right="221"/>
        <w:jc w:val="center"/>
        <w:rPr>
          <w:rFonts w:ascii="Times New Roman" w:eastAsia="Arial" w:hAnsi="Times New Roman" w:cs="Times New Roman"/>
          <w:b/>
          <w:bCs/>
          <w:sz w:val="26"/>
          <w:szCs w:val="26"/>
          <w:u w:val="single"/>
        </w:rPr>
      </w:pPr>
    </w:p>
    <w:p w14:paraId="599F58FA" w14:textId="77777777" w:rsidR="00225EA1" w:rsidRDefault="00225EA1">
      <w:pPr>
        <w:spacing w:after="0" w:line="200" w:lineRule="atLeast"/>
        <w:ind w:right="221"/>
        <w:jc w:val="center"/>
        <w:rPr>
          <w:rFonts w:ascii="Times New Roman" w:eastAsia="Arial" w:hAnsi="Times New Roman" w:cs="Times New Roman"/>
          <w:b/>
          <w:bCs/>
          <w:sz w:val="26"/>
          <w:szCs w:val="26"/>
          <w:u w:val="single"/>
        </w:rPr>
      </w:pPr>
    </w:p>
    <w:p w14:paraId="51254882" w14:textId="77777777" w:rsidR="00225EA1" w:rsidRDefault="00140D17">
      <w:pPr>
        <w:spacing w:after="0" w:line="200" w:lineRule="atLeast"/>
        <w:ind w:right="221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  <w:u w:val="single"/>
        </w:rPr>
        <w:t xml:space="preserve">Formularz asortymentowo-cenowy </w:t>
      </w:r>
    </w:p>
    <w:p w14:paraId="1E5B8D54" w14:textId="77777777" w:rsidR="00225EA1" w:rsidRDefault="00225EA1">
      <w:pPr>
        <w:spacing w:after="0" w:line="200" w:lineRule="atLeast"/>
        <w:ind w:right="221"/>
        <w:rPr>
          <w:rFonts w:ascii="Times New Roman" w:eastAsia="Arial" w:hAnsi="Times New Roman" w:cs="Times New Roman"/>
          <w:b/>
          <w:bCs/>
          <w:sz w:val="26"/>
          <w:szCs w:val="26"/>
          <w:u w:val="single"/>
        </w:rPr>
      </w:pPr>
    </w:p>
    <w:p w14:paraId="624F62C5" w14:textId="067A12F1" w:rsidR="00225EA1" w:rsidRDefault="00140D17">
      <w:pPr>
        <w:spacing w:after="0"/>
        <w:ind w:left="-5" w:right="6537" w:hanging="10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i/>
          <w:sz w:val="20"/>
        </w:rPr>
        <w:t>Preparaty do dezynfekcji i mycia rąk, skóry, błon śluzowych, ran</w:t>
      </w:r>
      <w:r w:rsidR="006C717F">
        <w:rPr>
          <w:rFonts w:ascii="Times New Roman" w:eastAsia="Arial" w:hAnsi="Times New Roman" w:cs="Times New Roman"/>
          <w:b/>
          <w:i/>
          <w:sz w:val="20"/>
        </w:rPr>
        <w:t xml:space="preserve"> </w:t>
      </w:r>
      <w:r>
        <w:rPr>
          <w:rFonts w:ascii="Times New Roman" w:eastAsia="Arial" w:hAnsi="Times New Roman" w:cs="Times New Roman"/>
          <w:b/>
          <w:i/>
          <w:sz w:val="20"/>
        </w:rPr>
        <w:t>i mycia</w:t>
      </w:r>
      <w:r w:rsidR="006C717F">
        <w:rPr>
          <w:rFonts w:ascii="Times New Roman" w:eastAsia="Arial" w:hAnsi="Times New Roman" w:cs="Times New Roman"/>
          <w:b/>
          <w:i/>
          <w:sz w:val="20"/>
        </w:rPr>
        <w:t xml:space="preserve"> </w:t>
      </w:r>
      <w:r>
        <w:rPr>
          <w:rFonts w:ascii="Times New Roman" w:eastAsia="Arial" w:hAnsi="Times New Roman" w:cs="Times New Roman"/>
          <w:b/>
          <w:i/>
          <w:sz w:val="20"/>
        </w:rPr>
        <w:t>ciała pacjentów</w:t>
      </w:r>
    </w:p>
    <w:p w14:paraId="1A8D1B93" w14:textId="77777777" w:rsidR="00225EA1" w:rsidRDefault="00225EA1">
      <w:pPr>
        <w:spacing w:after="0"/>
        <w:ind w:left="-5" w:right="6537" w:hanging="10"/>
        <w:rPr>
          <w:rFonts w:ascii="Times New Roman" w:eastAsia="Arial" w:hAnsi="Times New Roman" w:cs="Times New Roman"/>
          <w:b/>
          <w:i/>
          <w:sz w:val="20"/>
        </w:rPr>
      </w:pPr>
    </w:p>
    <w:p w14:paraId="3267A17B" w14:textId="77777777" w:rsidR="00225EA1" w:rsidRDefault="00225EA1">
      <w:pPr>
        <w:spacing w:after="0"/>
        <w:ind w:left="-15" w:right="6537"/>
        <w:rPr>
          <w:rFonts w:ascii="Times New Roman" w:eastAsia="Arial" w:hAnsi="Times New Roman" w:cs="Times New Roman"/>
          <w:b/>
          <w:i/>
          <w:sz w:val="20"/>
        </w:rPr>
      </w:pPr>
    </w:p>
    <w:tbl>
      <w:tblPr>
        <w:tblW w:w="1739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70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368"/>
        <w:gridCol w:w="5963"/>
        <w:gridCol w:w="1378"/>
        <w:gridCol w:w="957"/>
        <w:gridCol w:w="1392"/>
        <w:gridCol w:w="647"/>
        <w:gridCol w:w="1050"/>
        <w:gridCol w:w="1277"/>
        <w:gridCol w:w="1134"/>
        <w:gridCol w:w="1701"/>
        <w:gridCol w:w="898"/>
        <w:gridCol w:w="33"/>
        <w:gridCol w:w="34"/>
        <w:gridCol w:w="51"/>
        <w:gridCol w:w="38"/>
        <w:gridCol w:w="37"/>
        <w:gridCol w:w="38"/>
        <w:gridCol w:w="37"/>
        <w:gridCol w:w="38"/>
        <w:gridCol w:w="37"/>
        <w:gridCol w:w="38"/>
        <w:gridCol w:w="37"/>
        <w:gridCol w:w="38"/>
        <w:gridCol w:w="37"/>
        <w:gridCol w:w="38"/>
        <w:gridCol w:w="37"/>
        <w:gridCol w:w="38"/>
        <w:gridCol w:w="20"/>
      </w:tblGrid>
      <w:tr w:rsidR="00B64BC7" w14:paraId="4B8E61DB" w14:textId="23875683" w:rsidTr="006B5449">
        <w:trPr>
          <w:gridAfter w:val="18"/>
          <w:wAfter w:w="1524" w:type="dxa"/>
          <w:trHeight w:val="1049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AC5AC" w14:textId="77777777" w:rsidR="00B64BC7" w:rsidRDefault="00B64BC7">
            <w:pPr>
              <w:snapToGrid w:val="0"/>
              <w:ind w:left="48"/>
              <w:jc w:val="both"/>
              <w:rPr>
                <w:rFonts w:ascii="Times New Roman" w:eastAsia="Arial" w:hAnsi="Times New Roman" w:cs="Times New Roman"/>
                <w:b/>
                <w:sz w:val="20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0"/>
              </w:rPr>
              <w:t>L.p</w:t>
            </w:r>
            <w:proofErr w:type="spellEnd"/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E3718" w14:textId="77777777" w:rsidR="00B64BC7" w:rsidRDefault="00B64BC7">
            <w:pPr>
              <w:snapToGrid w:val="0"/>
              <w:ind w:left="1857" w:right="1882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Charakterystyka preparatu                   Zakres działania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464DD" w14:textId="77777777" w:rsidR="00B64BC7" w:rsidRDefault="00B64BC7">
            <w:pPr>
              <w:snapToGrid w:val="0"/>
              <w:ind w:left="84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Wielkość Opakowania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E679F" w14:textId="77777777" w:rsidR="00B64BC7" w:rsidRDefault="00B64BC7">
            <w:pPr>
              <w:snapToGrid w:val="0"/>
              <w:ind w:left="26" w:firstLine="206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color w:val="auto"/>
                <w:sz w:val="20"/>
              </w:rPr>
              <w:t>Ilość opakowań produktu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A29FB" w14:textId="77777777" w:rsidR="00B64BC7" w:rsidRDefault="00B64BC7">
            <w:pPr>
              <w:snapToGrid w:val="0"/>
              <w:ind w:left="10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Cena jednostkowa netto               za opakowanie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97F9E" w14:textId="77777777" w:rsidR="00B64BC7" w:rsidRDefault="00B64BC7">
            <w:pPr>
              <w:snapToGrid w:val="0"/>
              <w:ind w:left="51"/>
              <w:jc w:val="both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 xml:space="preserve">VAT </w:t>
            </w:r>
          </w:p>
          <w:p w14:paraId="22518693" w14:textId="77777777" w:rsidR="00B64BC7" w:rsidRDefault="00B64BC7">
            <w:pPr>
              <w:ind w:left="161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%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47565" w14:textId="77777777" w:rsidR="00B64BC7" w:rsidRDefault="00B64BC7">
            <w:pPr>
              <w:snapToGrid w:val="0"/>
              <w:ind w:left="221" w:hanging="150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Wartość netto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85BD0" w14:textId="77777777" w:rsidR="00B64BC7" w:rsidRDefault="00B64BC7">
            <w:pPr>
              <w:snapToGrid w:val="0"/>
              <w:ind w:left="182" w:hanging="104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Wartość brutto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271646" w14:textId="77777777" w:rsidR="00B64BC7" w:rsidRDefault="00B64BC7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 xml:space="preserve">Nazwa handlowa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B76" w14:textId="31FF038A" w:rsidR="00B64BC7" w:rsidRDefault="00B64BC7">
            <w:pPr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 w:rsidRPr="005664C7">
              <w:rPr>
                <w:rFonts w:ascii="Times New Roman" w:eastAsia="Arial" w:hAnsi="Times New Roman" w:cs="Times New Roman"/>
                <w:b/>
                <w:sz w:val="20"/>
              </w:rPr>
              <w:t>Nr GTIN lub EAN lub inny kod jednoznacznie identyfikujący produkt</w:t>
            </w:r>
          </w:p>
        </w:tc>
      </w:tr>
      <w:tr w:rsidR="00B64BC7" w14:paraId="229F2C2C" w14:textId="3D6EB65D" w:rsidTr="006B5449">
        <w:trPr>
          <w:gridAfter w:val="18"/>
          <w:wAfter w:w="1524" w:type="dxa"/>
          <w:cantSplit/>
          <w:trHeight w:val="912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CF403" w14:textId="77777777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5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9EEAF" w14:textId="77777777" w:rsidR="00B64BC7" w:rsidRDefault="00B64BC7">
            <w:pPr>
              <w:snapToGrid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Bezbarwny preparat o przedłużonym działaniu do odkażania i odtłuszczania skóry, oparty o mieszankę trzech alkoholi (zawartość alkoholi min 70%) i nadtlenku wodoru, bez zawartości fenoli i jego pochodnych, jodu  i jego związków; z możliwością stosowania u dzieci i noworodków - potwierdzone pozytywną opinią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IMiDz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 skuteczny na B (wraz z prątkami gruźlicy i MRSA), F, V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Hepatitis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B, HIV, HBV,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Herpes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Rota,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Adeno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);; rejestracja: lek - zgodnie z CHPL, możliwość stosowania bez asysty lekarza. możliwość użycia do 6 miesięcy od pierwszego użycia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67004" w14:textId="77777777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1L (butelka)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40506" w14:textId="77777777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40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17A2A" w14:textId="044B0ABB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885EF" w14:textId="4AADB023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6F225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46ADC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341F3D" w14:textId="65E9ACDD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E5F9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64BC7" w14:paraId="32BB2A4E" w14:textId="2FC179A5" w:rsidTr="006B5449">
        <w:trPr>
          <w:gridAfter w:val="18"/>
          <w:wAfter w:w="1524" w:type="dxa"/>
          <w:cantSplit/>
          <w:trHeight w:val="1439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E52A0" w14:textId="77777777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49845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2683B" w14:textId="77777777" w:rsidR="00B64BC7" w:rsidRDefault="00B64BC7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Op. 350ml </w:t>
            </w:r>
          </w:p>
          <w:p w14:paraId="64D57F1D" w14:textId="77777777" w:rsidR="00B64BC7" w:rsidRDefault="00B64BC7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 atomizerem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A7A16" w14:textId="77777777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A962E" w14:textId="3FFB1932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023AD" w14:textId="4DE75D82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569D5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9DCE1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4B8F0A" w14:textId="509982F6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FE8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B64BC7" w14:paraId="50D43B92" w14:textId="2425DD44" w:rsidTr="006B5449">
        <w:trPr>
          <w:gridAfter w:val="18"/>
          <w:wAfter w:w="1524" w:type="dxa"/>
          <w:trHeight w:val="1280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2CA9A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34EBC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Barwiony (barwnik rozpuszczalny w wodzie) preparat o przedłużonym działaniu do odkażania i odtłuszczania skóry, oparty o mieszankę trzech alkoholi (zawartość alkoholi min 70%) i nadtlenku wodoru, bez zawartości fenoli i jego pochodnych, jodu i jego związków; skuteczny na B (wraz z prątkami gruźlicy i MRSA), F, V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Hepatitis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B, HIV, HBV,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Herpes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Rota,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Adeno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); rejestracja: lek - zgodnie z CHPL, możliwość stosowania bez asysty lekarza.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06580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1L (butelka)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2CC39" w14:textId="77777777" w:rsidR="00B64BC7" w:rsidRDefault="00B64BC7">
            <w:pPr>
              <w:snapToGrid w:val="0"/>
              <w:ind w:left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16FC4" w14:textId="3AFFD254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296980" w14:textId="1F026C42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12F4A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3FF0EA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0A2256" w14:textId="2C41E7B1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4634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</w:tr>
      <w:tr w:rsidR="00B64BC7" w14:paraId="06E71CCE" w14:textId="14E02431" w:rsidTr="006B5449">
        <w:trPr>
          <w:gridAfter w:val="18"/>
          <w:wAfter w:w="1524" w:type="dxa"/>
          <w:trHeight w:val="35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FE3351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3.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039E1D" w14:textId="77777777" w:rsidR="00B64BC7" w:rsidRDefault="00B64BC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Barwiony preparat o przedłużonym działaniu do odkażania i odtłuszczania skóry, oparty o mieszankę dwóch alkoholi (zawartość alkoholi min 70%) i, bez zawartości nadtlenku wodoru, fenoli i jego pochodnych, jodu i jego związków; skuteczny na B (wraz z prątkami gruźlicy) F, V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Hepatitis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B, HIV, HBV,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Herpes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Rota,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Vaccinia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); rejestracja: lek - zgodnie z CHPL,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5A9C1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Op. 250ml z atomizerem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E4E8A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806E2" w14:textId="193A0298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CE498" w14:textId="0334BCC2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A628D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39211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50DAD0" w14:textId="77624059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237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6B28757D" w14:textId="2632B139" w:rsidTr="006B5449">
        <w:trPr>
          <w:gridAfter w:val="18"/>
          <w:wAfter w:w="1524" w:type="dxa"/>
          <w:trHeight w:val="35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8CA00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4.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A408F" w14:textId="77777777" w:rsidR="00B64BC7" w:rsidRDefault="00B64BC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Preparat do dezynfekcji skóry przed zabiegami operacyjnymi, punkcjami, posiadający w składzie substancje czynne 2 – propanol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powidon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jodu.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Szybki czas działania 15 sekund, minimalny czas aplikacji przed zabiegami operacyjnymi oraz punkcjami np. stawów do 1 minuty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B90C9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lastRenderedPageBreak/>
              <w:t>1 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E1289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9EF5B" w14:textId="5E5714DE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04AE0" w14:textId="618249D3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564E4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C5FC9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F37DA7" w14:textId="0F4B8860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B0A7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4CFD331A" w14:textId="18169B16" w:rsidTr="006B5449">
        <w:trPr>
          <w:gridAfter w:val="18"/>
          <w:wAfter w:w="1524" w:type="dxa"/>
          <w:trHeight w:val="35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02623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5.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3CB94" w14:textId="77777777" w:rsidR="00B64BC7" w:rsidRDefault="00B64BC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Preparat do odkażania skóry, błon śluzowych oraz do przepłukiwania jam ciała. Stanowi 7,5 %wodny roztwór PVP- J, spektrum działania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B,F,V,Tbc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pierwotniaki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5D5D2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250ml z atomizerem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87FE1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EA31F" w14:textId="1E1AA8B1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4B893" w14:textId="4DC87418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9B0DA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25FAE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D70CC" w14:textId="5FBB9008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91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6FCCFD60" w14:textId="108F67E8" w:rsidTr="006B5449">
        <w:trPr>
          <w:gridAfter w:val="18"/>
          <w:wAfter w:w="1524" w:type="dxa"/>
          <w:trHeight w:val="35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42FD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6.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CB5E1" w14:textId="77777777" w:rsidR="00B64BC7" w:rsidRDefault="00B64BC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Preparat do ogólnej antyseptyki skóry przed procedurami naruszającymi ciągłość skóry oraz do higienicznej dezynfekcji rąk. Preparat na bazie alkoholu etylowego (min. 70%), zawierający 2%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diglukonianu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chlorheksydyny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Bez zawartości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izopropanolu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Spektrum działania: B,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Tbc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drożdże oraz wirusy osłonione (łącznie z HBV, HCV, HIV). Czas działania: dezynfekcja skóry- 30 do 60 sek., dezynfekcja skóry bogatej w gruczoły łojowe - 5 min., dezynfekcja rąk – 30 sek.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A6DFF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 xml:space="preserve">Butelka </w:t>
            </w:r>
          </w:p>
          <w:p w14:paraId="113ADA1B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E0B10" w14:textId="77777777" w:rsidR="00B64BC7" w:rsidRDefault="00B64BC7">
            <w:pPr>
              <w:snapToGrid w:val="0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B22B5" w14:textId="781D6FB0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F2E94" w14:textId="7FC65E52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ABFC6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C113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3DD97A" w14:textId="399175D9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F5DD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23AB571D" w14:textId="4291FD2C" w:rsidTr="006B5449">
        <w:trPr>
          <w:gridAfter w:val="18"/>
          <w:wAfter w:w="1524" w:type="dxa"/>
          <w:trHeight w:val="958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146D6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7.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73610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Antyseptyczny środek do mycia i dezynfekcji skóry rąk przed operacjami oraz mycia ciała pacjenta przygotowanego do operacji lub zabiegu chirurgicznego zawierający w swoim składzie 4%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diglukonianu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chlorheksydyny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, alkohol etylowy skażony alkoholem metylowym, tlenek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dialkiloaminowy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, glicerol,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hydroksyetylocelulozę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 oraz czerwień koszenilową; rejestracja: lek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1F81A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7D3B0" w14:textId="77777777" w:rsidR="00B64BC7" w:rsidRDefault="00B64BC7">
            <w:pPr>
              <w:snapToGrid w:val="0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40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0E366" w14:textId="2C0B39B0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09F71" w14:textId="1C52B58A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16E4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10E95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C95415" w14:textId="1C62D1BD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4B4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33B0DF5B" w14:textId="21181D19" w:rsidTr="006B5449">
        <w:trPr>
          <w:gridAfter w:val="18"/>
          <w:wAfter w:w="1524" w:type="dxa"/>
          <w:trHeight w:val="730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9B0D3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8.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195D2" w14:textId="77777777" w:rsidR="00B64BC7" w:rsidRDefault="00B64BC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Płyn do higienicznego mycia nieuszkodzonej i niezmienionej chorobowo skóry rak i ciała w obszarze medycznym; zawierający m.in. 2%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chlorheksydynę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kwas d-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glukonowy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skuteczny na bakterie EN13727, EN1276 - 30s, drożdże EN13624 - 60s oraz wirusy (PRV, HSV, BVDV, osłonkowe MVA) EN14476 - 30s; wirusy (osłonkowe MVA) EN14476 - 60s; z możliwością niespłukiwania preparatu z ciała pacjenta, wywołując tym samym przedłużone działanie na MRSA do 24h; EN1499 higieniczne mycie rąk - 30s, Opakowania: 500ml,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1D8D33" w14:textId="77777777" w:rsidR="00B64BC7" w:rsidRDefault="00B64BC7">
            <w:pPr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EDDA8" w14:textId="77777777" w:rsidR="00B64BC7" w:rsidRDefault="00B64BC7">
            <w:pPr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A40BC" w14:textId="2E3B4BAF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249CF" w14:textId="45B0E483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6580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CBA00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84C37" w14:textId="1614F33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0440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2506628A" w14:textId="4EACDF9E" w:rsidTr="006B5449">
        <w:trPr>
          <w:gridAfter w:val="18"/>
          <w:wAfter w:w="1524" w:type="dxa"/>
          <w:trHeight w:val="1511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565D3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9.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0193B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 xml:space="preserve">Preparat do dezynfekcji  błon śluzowych – układ moczowo - płciowy, nie zawierający związku jodu oraz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octenidyny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 xml:space="preserve">, posiadający w składzie kwas mlekowy,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chlorheksydynę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>, nadtlenek wodoru i alkohol ( max. 15g/100g) , aktywny przy obciążeniu krwią i substancjami białkowymi, nie wywołujący alergii, nie drażniący śluzówek. Działający na bakterie, grzyby, wirusy i pierwotniaki, czas ekspozycji do 60 s.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4D482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96489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27F0F" w14:textId="4B5B71B5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1517E" w14:textId="33D3471A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02FF6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C940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87E26E" w14:textId="3CC33742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E7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1746B934" w14:textId="2DCB34EA" w:rsidTr="006B5449">
        <w:trPr>
          <w:gridAfter w:val="18"/>
          <w:wAfter w:w="1524" w:type="dxa"/>
          <w:trHeight w:val="572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F140A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10.</w:t>
            </w:r>
          </w:p>
        </w:tc>
        <w:tc>
          <w:tcPr>
            <w:tcW w:w="5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0772F" w14:textId="77777777" w:rsidR="00B64BC7" w:rsidRDefault="00B64BC7">
            <w:pPr>
              <w:pStyle w:val="Default"/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Sterylny, gotowy  do użycia roztwór służący do irygacji, czyszczenia, nawilżania ran ostrych, przewlekłych jak i oparzeniowych I-II stopnia, usuwania włóknistych płaszczy i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biofilmów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z rany w sposób zapewniający ochronę tkanki z możliwością użycia do błon śluzowych; bezzapachowy, nie wykazujący działania dezynfekcyjnego; zawierający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poliheksanidynę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 i betainę; bez zawartości dodatkowych substancji </w:t>
            </w:r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 xml:space="preserve">czynnych takich jak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jodopowidon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, chlorowodorek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oktenidyny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; Wyrób medyczny klasy III.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91EB8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lastRenderedPageBreak/>
              <w:t>1L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C3336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58B90" w14:textId="650B590D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7F159" w14:textId="0E260E9D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42BB99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3B55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F1E0B7" w14:textId="282BB43F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E3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71054638" w14:textId="5E2A2D89" w:rsidTr="006B5449">
        <w:trPr>
          <w:gridAfter w:val="18"/>
          <w:wAfter w:w="1524" w:type="dxa"/>
          <w:trHeight w:val="572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BC8E0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</w:p>
        </w:tc>
        <w:tc>
          <w:tcPr>
            <w:tcW w:w="5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5E9B5" w14:textId="77777777" w:rsidR="00B64BC7" w:rsidRDefault="00B64BC7">
            <w:pPr>
              <w:pStyle w:val="Default"/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37E4D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350ml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116A2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E0357" w14:textId="423FA244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30D2D" w14:textId="7F643484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D58D4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5A2EA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07EC68" w14:textId="2FAEA37D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B21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686C8190" w14:textId="14E04C38" w:rsidTr="006B5449">
        <w:trPr>
          <w:gridAfter w:val="18"/>
          <w:wAfter w:w="1524" w:type="dxa"/>
          <w:trHeight w:val="57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3B685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11.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E06F9" w14:textId="77777777" w:rsidR="00B64BC7" w:rsidRDefault="00B64BC7">
            <w:pPr>
              <w:pStyle w:val="Default"/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Bezbarwny preparat w żelu do oczyszczenia, dekontaminacji i nawilżania ran. Zawierający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octenidynę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bez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poliheksanidyny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alkoholu, środków konserwujących. Usuwający skutecznie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biofilm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bakteryjny. Spektrum działania: B, F w czasie 1 minuty. Wyrób medyczny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IIb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Gotowy do użycia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E65A3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20ml</w:t>
            </w:r>
          </w:p>
          <w:p w14:paraId="44CDD656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A47CF5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25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A8311" w14:textId="39788695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308A0" w14:textId="1E40DD5A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EE03A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D05C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4AFE3" w14:textId="59C2BAA4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C1E7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26FC4339" w14:textId="4593B8A6" w:rsidTr="006B5449">
        <w:trPr>
          <w:gridAfter w:val="18"/>
          <w:wAfter w:w="1524" w:type="dxa"/>
          <w:trHeight w:val="1237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352F2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12.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1DB63" w14:textId="77777777" w:rsidR="00B64BC7" w:rsidRDefault="00B64BC7">
            <w:pPr>
              <w:pStyle w:val="Default"/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Bezbarwny preparat w płynie do oczyszczenia, dekontaminacji i nawilżania ran. Zawierający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octenidynę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bez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poliheksanidyny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alkoholu, środków konserwujących. Usuwający skutecznie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biofilm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bakteryjny. Wyrób medyczny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IIb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>awaseptyk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CA5E1F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350ml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9C086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BB8DB" w14:textId="45F136D9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FA424" w14:textId="5FCFE781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8D937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1C82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896533" w14:textId="1E7F0351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8A5A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79A5709D" w14:textId="080B7491" w:rsidTr="006B5449">
        <w:trPr>
          <w:gridAfter w:val="18"/>
          <w:wAfter w:w="1524" w:type="dxa"/>
          <w:trHeight w:val="2616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BB88D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13.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3C0B4" w14:textId="77777777" w:rsidR="00B64BC7" w:rsidRDefault="00B64BC7">
            <w:pPr>
              <w:pStyle w:val="Default"/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Preparat do czasowego zmniejszania liczby bakterii w jamie ustnej oraz czasowego zahamowania tworzenia się płytki nazębnej, w przypadku niedostatecznej higieny jamy ustnej, zarejestrowany jako produkt leczniczy. Zawierającego w składzie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oktenidynę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. Skutecznego wobec bakterii zgodnie z normą EN 13727 (S.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aureus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, E. coli K12, E.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hirae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, P.</w:t>
            </w:r>
          </w:p>
          <w:p w14:paraId="7A949E2A" w14:textId="77777777" w:rsidR="00B64BC7" w:rsidRDefault="00B64BC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aeruginosa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) oraz drożdży (C.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albicans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) zgodnie z normą EN 13624. Może być stosowany przez kobiety ciężarne, zgodność z zalecenia KRINKO dotyczącymi zapobiegania szpitalnemu zapaleniu płuc związanemu z wentylacją mechaniczną.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Preparat o miętowym zapachu. Możliwość stosowania do 8 tygodni od pierwszego otwarcia. Produkt leczniczy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4BD4D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But. 250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EF92F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180</w:t>
            </w:r>
          </w:p>
          <w:p w14:paraId="3B8A3B1E" w14:textId="77777777" w:rsidR="00B64BC7" w:rsidRDefault="00B64BC7">
            <w:pPr>
              <w:snapToGrid w:val="0"/>
              <w:spacing w:after="534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ACCD5" w14:textId="026686AD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0E689" w14:textId="51D20DC1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909D5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B1814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57A017" w14:textId="09AEF6D2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84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64128A81" w14:textId="6576693C" w:rsidTr="006B5449">
        <w:trPr>
          <w:gridAfter w:val="18"/>
          <w:wAfter w:w="1524" w:type="dxa"/>
          <w:trHeight w:val="1115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E2434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14.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FD1C2" w14:textId="77777777" w:rsidR="00B64BC7" w:rsidRDefault="00B64BC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Bezallkoholowy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preparat do dezynfekcji błon śluzowych jamy ustnej, zawierający,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chlorheksydynę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 aloes, bez zawartości jodu o smaku miętowym.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EC469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But. 200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1CE2E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225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F92F9" w14:textId="3E68F931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6599C" w14:textId="32493AFE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898E1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DB619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7FA610" w14:textId="183F9934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38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1393A292" w14:textId="1D843EFE" w:rsidTr="006B5449">
        <w:trPr>
          <w:gridAfter w:val="18"/>
          <w:wAfter w:w="1524" w:type="dxa"/>
          <w:trHeight w:val="572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856C6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15.</w:t>
            </w:r>
          </w:p>
        </w:tc>
        <w:tc>
          <w:tcPr>
            <w:tcW w:w="5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5B096" w14:textId="77777777" w:rsidR="00B64BC7" w:rsidRDefault="00B64BC7">
            <w:pPr>
              <w:pStyle w:val="Default"/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Preparat do dezynfekcji ran, błon śluzowych i graniczącą z nią skórą, przed, w trakcie i po zabiegach diagnostycznych i operacyjnych w ginekologii, geriatrii, położnictwie itp. Bezbarwny, gotowy do użycia na bazie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octenidyny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bez zawartości alkoholu, jodu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chlorheksydyny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Z możliwością zastosowania przy cewnikowaniu, opracowywaniu ran oparzeniowych, owrzodzeń żylnych, płukaniu otwartych ropni, pielęgnacji szwów pooperacyjnych, przed badaniami dopochwowymi, w pediatrii.  Nie wpływający negatywnie na gojenie się ran. Spektrum działania:         B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Chlamydium,Mycoplasma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), F, drożdżaki, V (HIV, HBV,HSV), pierwotniaki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). Działanie leku utrzymuje się w czasie 1 godziny. Produkt leczniczy.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44F58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 xml:space="preserve">250 ml </w:t>
            </w:r>
            <w:r>
              <w:rPr>
                <w:rFonts w:ascii="Times New Roman" w:hAnsi="Times New Roman"/>
                <w:sz w:val="23"/>
                <w:szCs w:val="23"/>
                <w:lang w:eastAsia="pl-PL"/>
              </w:rPr>
              <w:t xml:space="preserve">z </w:t>
            </w:r>
            <w:r>
              <w:rPr>
                <w:rFonts w:ascii="Times New Roman" w:eastAsia="Arial" w:hAnsi="Times New Roman" w:cs="Times New Roman"/>
                <w:sz w:val="20"/>
              </w:rPr>
              <w:t>pompką rozpylającą zintegrowaną na stałe (brak możliwości odkręcenia)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4CFB0" w14:textId="77777777" w:rsidR="00B64BC7" w:rsidRDefault="00B64BC7">
            <w:pPr>
              <w:snapToGrid w:val="0"/>
              <w:spacing w:after="534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320</w:t>
            </w:r>
          </w:p>
          <w:p w14:paraId="70508247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296D1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09D8E" w14:textId="5C2CB241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90AF5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61F97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569B61" w14:textId="5AE51B3C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DCB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6B9B58D7" w14:textId="16C25571" w:rsidTr="006B5449">
        <w:trPr>
          <w:gridAfter w:val="18"/>
          <w:wAfter w:w="1524" w:type="dxa"/>
          <w:trHeight w:val="57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075B6" w14:textId="77777777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</w:p>
        </w:tc>
        <w:tc>
          <w:tcPr>
            <w:tcW w:w="5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08335" w14:textId="77777777" w:rsidR="00B64BC7" w:rsidRDefault="00B64BC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67C05" w14:textId="77777777" w:rsidR="00B64BC7" w:rsidRDefault="00B64BC7">
            <w:pPr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 xml:space="preserve">50 ml </w:t>
            </w:r>
            <w:r>
              <w:rPr>
                <w:rFonts w:ascii="Times New Roman" w:hAnsi="Times New Roman"/>
                <w:sz w:val="23"/>
                <w:szCs w:val="23"/>
                <w:lang w:eastAsia="pl-PL"/>
              </w:rPr>
              <w:t xml:space="preserve">z </w:t>
            </w:r>
            <w:r>
              <w:rPr>
                <w:rFonts w:ascii="Times New Roman" w:eastAsia="Arial" w:hAnsi="Times New Roman" w:cs="Times New Roman"/>
                <w:sz w:val="20"/>
              </w:rPr>
              <w:t xml:space="preserve">pompką rozpylającą zintegrowaną na stałe (brak </w:t>
            </w:r>
            <w:r>
              <w:rPr>
                <w:rFonts w:ascii="Times New Roman" w:eastAsia="Arial" w:hAnsi="Times New Roman" w:cs="Times New Roman"/>
                <w:sz w:val="20"/>
              </w:rPr>
              <w:lastRenderedPageBreak/>
              <w:t>możliwości odkręcenia)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097A5" w14:textId="77777777" w:rsidR="00B64BC7" w:rsidRDefault="00B64BC7">
            <w:pPr>
              <w:spacing w:after="534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67E4" w14:textId="78E894B0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C4C3B" w14:textId="39BF3F35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521F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4D2D9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19D209" w14:textId="2252A13E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8AB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7ABD0425" w14:textId="1E5A974D" w:rsidTr="006B5449">
        <w:trPr>
          <w:gridAfter w:val="18"/>
          <w:wAfter w:w="1524" w:type="dxa"/>
          <w:trHeight w:val="570"/>
        </w:trPr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C2B70" w14:textId="77777777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</w:p>
        </w:tc>
        <w:tc>
          <w:tcPr>
            <w:tcW w:w="5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B40EE" w14:textId="77777777" w:rsidR="00B64BC7" w:rsidRDefault="00B64BC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6AAC0" w14:textId="77777777" w:rsidR="00B64BC7" w:rsidRDefault="00B64BC7">
            <w:pPr>
              <w:snapToGrid w:val="0"/>
              <w:spacing w:after="276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 xml:space="preserve">1L </w:t>
            </w:r>
            <w:r>
              <w:rPr>
                <w:rFonts w:ascii="Times New Roman" w:hAnsi="Times New Roman"/>
                <w:sz w:val="23"/>
                <w:szCs w:val="23"/>
                <w:lang w:eastAsia="pl-PL"/>
              </w:rPr>
              <w:t xml:space="preserve">z </w:t>
            </w:r>
            <w:r>
              <w:rPr>
                <w:rFonts w:ascii="Times New Roman" w:eastAsia="Arial" w:hAnsi="Times New Roman" w:cs="Times New Roman"/>
                <w:sz w:val="20"/>
              </w:rPr>
              <w:t>zamknięciem PP z zabezpieczeniem gwarancyjnym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15BBF" w14:textId="77777777" w:rsidR="00B64BC7" w:rsidRDefault="00B64BC7">
            <w:pPr>
              <w:snapToGrid w:val="0"/>
              <w:spacing w:after="534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70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9799D" w14:textId="61B6BCDB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B63F6" w14:textId="0D9D2C3C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6ABC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9FD11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5E38FD" w14:textId="57009632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3260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4BB94D73" w14:textId="6F7858B3" w:rsidTr="006B5449">
        <w:trPr>
          <w:gridAfter w:val="18"/>
          <w:wAfter w:w="1524" w:type="dxa"/>
          <w:trHeight w:val="1048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4EF29" w14:textId="77777777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16.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7CB25" w14:textId="77777777" w:rsidR="00B64BC7" w:rsidRDefault="00B64BC7">
            <w:pPr>
              <w:pStyle w:val="Default"/>
              <w:rPr>
                <w:rFonts w:ascii="Times New Roman" w:eastAsia="NSimSun" w:hAnsi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 xml:space="preserve">Rękawiczki do mycia i pielęgnacji skóry bez użycia wody, produkt gotowy do użycia, nie wymaga spłukiwania, zawiera w składzie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dichlorowodorek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oktenidyny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 xml:space="preserve">, nie zawierający barwników i substancji zapachowych, zawierające substancję pielęgnującą skórę –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alantoinę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8F659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op. 8 szt.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F9F1C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color w:val="EE0000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7A26D" w14:textId="2A9F5018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color w:val="EE0000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F24B6" w14:textId="3A780D34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EE0000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03049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EE000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93604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EE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C9F498" w14:textId="4C8EF1BA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EE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455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EE0000"/>
                <w:sz w:val="20"/>
              </w:rPr>
            </w:pPr>
          </w:p>
        </w:tc>
      </w:tr>
      <w:tr w:rsidR="00B64BC7" w14:paraId="75739217" w14:textId="674BF414" w:rsidTr="006B5449">
        <w:trPr>
          <w:gridAfter w:val="18"/>
          <w:wAfter w:w="1524" w:type="dxa"/>
          <w:trHeight w:val="1048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D13A4" w14:textId="77777777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17.</w:t>
            </w:r>
          </w:p>
          <w:p w14:paraId="22472C68" w14:textId="77777777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F639B" w14:textId="77777777" w:rsidR="00B64BC7" w:rsidRDefault="00B64BC7">
            <w:pPr>
              <w:pStyle w:val="Defaul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Emulsja wody w oleju o działaniu natłuszczającym, ochronnym i regenerującym skórę; zawiera witaminę E i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gliceryne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; konfekcjonowana w opakowanie 500ml przystosowane do dozowników typu </w:t>
            </w:r>
            <w:proofErr w:type="spellStart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Dermados</w:t>
            </w:r>
            <w:proofErr w:type="spellEnd"/>
            <w:r>
              <w:rPr>
                <w:rFonts w:ascii="Times New Roman" w:eastAsia="N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; preparat kompatybilny z produktami do dezynfekcji i mycia rąk, pochodzący od jednego producenta.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CF245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But. 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72D69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80</w:t>
            </w:r>
          </w:p>
          <w:p w14:paraId="46E60829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3DFD8" w14:textId="249DEB99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F17DE" w14:textId="3CD07825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3748B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AE19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4E6488" w14:textId="22DC4630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F33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7618D31B" w14:textId="041FC2DD" w:rsidTr="006B5449">
        <w:trPr>
          <w:gridAfter w:val="18"/>
          <w:wAfter w:w="1524" w:type="dxa"/>
          <w:trHeight w:val="1048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870A4" w14:textId="77777777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18.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6402F" w14:textId="77777777" w:rsidR="00B64BC7" w:rsidRDefault="00B64BC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Przebadany dermatologiczne preparat myjący do chirurgicznego i higienicznego mycia rąk, niealkaiczny na bazie syntetycznych składników, o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5,0, zawierający substancje nawilżające, zapachowe oraz formułę APG; posiadający doskonałe właściwości pielęgnujące i myjące (usuwa pozostałości po maściach); nadający się również do mycia ciała i kąpieli pod prysznicem; konfekcjonowany w but. 500ml pasujące do dozownika typu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Dermados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 preparat powinien być kompatybilny z preparatem do dezynfekcji rąk - pochodzący od jednego producenta.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9279C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But. 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7205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800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02ED0" w14:textId="71ACF435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0CB49" w14:textId="59642359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C00000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394B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C00000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E4C84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C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1A115D" w14:textId="777D5C34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C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B03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C00000"/>
                <w:sz w:val="20"/>
              </w:rPr>
            </w:pPr>
          </w:p>
        </w:tc>
      </w:tr>
      <w:tr w:rsidR="00B64BC7" w14:paraId="3C52B499" w14:textId="34E18ACE" w:rsidTr="006B5449">
        <w:trPr>
          <w:gridAfter w:val="18"/>
          <w:wAfter w:w="1524" w:type="dxa"/>
          <w:trHeight w:val="629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7A719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19.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24052" w14:textId="77777777" w:rsidR="00B64BC7" w:rsidRDefault="00B64BC7">
            <w:pPr>
              <w:snapToGrid w:val="0"/>
              <w:spacing w:after="0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 xml:space="preserve">Produkt w płynie do higienicznej i chirurgicznej dezynfekcji rąk na bazie etanolu. Bez zawartości barwników, konserwantów,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chlorheksydyny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 xml:space="preserve"> oraz pochodnych fenolowych. Spektrum: B,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Tbc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 xml:space="preserve">, F, V (HIV, HBV, HCV, Polio,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Adeno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 xml:space="preserve">, Noro, Rota,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Vaccina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 xml:space="preserve">). Wykazujący działanie natychmiastowe         i przedłużone. Konfekcjonowany w worki o pojemności 700 ml, z trójdzielną zastawką zapobiegającą zasysaniu powietrza i zanieczyszczeń. Opakowanie kompatybilne z dozownikami łokciowymi i automatycznymi Systemu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Sterisol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>, potwierdzone oświadczeniem producenta dozowników.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A8C9D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Worek 700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14291" w14:textId="77777777" w:rsidR="00B64BC7" w:rsidRDefault="00B64BC7">
            <w:pPr>
              <w:snapToGrid w:val="0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40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3A538" w14:textId="06F18366" w:rsidR="00B64BC7" w:rsidRDefault="00B64BC7">
            <w:pPr>
              <w:snapToGri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62898" w14:textId="13217E28" w:rsidR="00B64BC7" w:rsidRDefault="00B64BC7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FFB21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1E566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0A4DAE" w14:textId="1F471CA5" w:rsidR="00B64BC7" w:rsidRDefault="00B64BC7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D13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B64BC7" w14:paraId="6658A530" w14:textId="75ABEC61" w:rsidTr="006B5449">
        <w:trPr>
          <w:gridAfter w:val="18"/>
          <w:wAfter w:w="1524" w:type="dxa"/>
          <w:trHeight w:val="1050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727C0" w14:textId="77777777" w:rsidR="00B64BC7" w:rsidRDefault="00B64BC7">
            <w:pPr>
              <w:snapToGrid w:val="0"/>
              <w:jc w:val="center"/>
              <w:textAlignment w:val="top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20.</w:t>
            </w:r>
          </w:p>
          <w:p w14:paraId="7DECC63D" w14:textId="77777777" w:rsidR="00B64BC7" w:rsidRDefault="00B64BC7">
            <w:pPr>
              <w:snapToGrid w:val="0"/>
              <w:jc w:val="center"/>
              <w:textAlignment w:val="top"/>
              <w:rPr>
                <w:rFonts w:ascii="Times New Roman" w:eastAsia="Arial" w:hAnsi="Times New Roman" w:cs="Times New Roman"/>
                <w:b/>
                <w:sz w:val="20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E1C06" w14:textId="77777777" w:rsidR="00B64BC7" w:rsidRDefault="00B64BC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Preparat w płynie, do higienicznej EN 1500 (30 sekund) i chirurgicznej EN 12791 (2x45 sekund - 3ml) dezynfekcji rąk, bez substancji CMR, barwników i substancji zapachowych, zawierający w składzie 89g etanolu, witaminę E, glicerynę,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pantenol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alkohol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mirystylowy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O spektrum działania: B, F (C.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albicans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Tbc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(M.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Terrae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M.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avium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V (wirusy osłonkowe, Noro,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Adeno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Rota, Polio). Przebadany zgodnie 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normą EN 17430. Opakowanie 500ml pasujące do dozowników typu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Dermados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Produkt biobójczy.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61AC7" w14:textId="77777777" w:rsidR="00B64BC7" w:rsidRDefault="00B64BC7">
            <w:pPr>
              <w:snapToGrid w:val="0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DFCDE" w14:textId="77777777" w:rsidR="00B64BC7" w:rsidRDefault="00B64BC7">
            <w:pPr>
              <w:snapToGrid w:val="0"/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2000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A8971" w14:textId="1C521FD4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7A81D" w14:textId="7A4AA2BD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94850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EE7E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0531E9" w14:textId="0622B332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EE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435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EE0000"/>
                <w:sz w:val="20"/>
              </w:rPr>
            </w:pPr>
          </w:p>
        </w:tc>
      </w:tr>
      <w:tr w:rsidR="00B64BC7" w14:paraId="22B68534" w14:textId="6D17AF8A" w:rsidTr="006B5449">
        <w:trPr>
          <w:gridAfter w:val="18"/>
          <w:wAfter w:w="1524" w:type="dxa"/>
          <w:trHeight w:val="483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611B4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21.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21C7A" w14:textId="77777777" w:rsidR="00B64BC7" w:rsidRDefault="00B64BC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Preparat do z dodatkiem gliceryny, do higienicznej EN 1500 (30 sekund) i chirurgicznej EN 12791 (2x45 sekund - 3ml) dezynfekcji rąk, 100 g preparatu zawiera 79,91 g propan-2-ol, 1 g 2-fenoksyetanol. O spektrum działania B, F (C.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albicans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Tbc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(M.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Terrae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M.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avium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V (wirusy osłonkowe, Noro,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Adeno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Rota). Przebadany zgodnie z normą EN 17430. Opakowanie 500ml pasujące do dozowników typu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Dermados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Produkt biobójczy.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B585A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93AFB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600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87131" w14:textId="1382D64B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B65F9" w14:textId="159BC28A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4075B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AF850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4EF21" w14:textId="7C41430D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3C9D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4A219778" w14:textId="2A403A10" w:rsidTr="006B5449">
        <w:trPr>
          <w:gridAfter w:val="18"/>
          <w:wAfter w:w="1524" w:type="dxa"/>
          <w:trHeight w:val="1281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0E8EB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22.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44EB8" w14:textId="77777777" w:rsidR="00B64BC7" w:rsidRDefault="00B64BC7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Alkoholowy preparat w postaci żelu do higienicznej EN 1500 (30 sekund) i chirurgicznej EN 12791 (2x45 sekund - 3ml) dezynfekcji rąk, bez substancji CMR, 100 g zawiera substancję czynną: 80g etanolu ze środkami zagęszczającymi, nawilżającymi i kojącymi oraz wodą., bez zawartości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izopropanolu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, substancji zapachowych i barwników. O spektrum działania: B, F (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C.albicans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Tbc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 (M.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Terrae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, M.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avium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), V (wirusy osłonkowe,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Adeno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 xml:space="preserve">, Noro, Rota, Polio). Przebadany zgodnie z normą EN 17430. Opakowanie 500ml pasujące do dozowników typu </w:t>
            </w:r>
            <w:proofErr w:type="spellStart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Dermados</w:t>
            </w:r>
            <w:proofErr w:type="spellEnd"/>
            <w:r>
              <w:rPr>
                <w:rFonts w:ascii="Times New Roman" w:eastAsia="Arial" w:hAnsi="Times New Roman" w:cs="Times New Roman"/>
                <w:color w:val="auto"/>
                <w:sz w:val="20"/>
                <w:szCs w:val="20"/>
              </w:rPr>
              <w:t>. Produkt biobójczy.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CD066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 xml:space="preserve">500ml 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38D94" w14:textId="77777777" w:rsidR="00B64BC7" w:rsidRDefault="00B64BC7">
            <w:pPr>
              <w:snapToGrid w:val="0"/>
              <w:ind w:left="2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230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8B4D45" w14:textId="1391C820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0161F" w14:textId="1D63AA8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FD9D19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0890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65758" w14:textId="6EB64B45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484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</w:tr>
      <w:tr w:rsidR="00B64BC7" w14:paraId="4960CDD9" w14:textId="0EE1F582" w:rsidTr="006B5449">
        <w:trPr>
          <w:gridAfter w:val="18"/>
          <w:wAfter w:w="1524" w:type="dxa"/>
          <w:trHeight w:val="987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CC1E5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23.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725DD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Dozownik łokciowy wykonany z wytrzymałego plastiku ABS, przeznaczony do dozowania preparatów do dezynfekcji, mycia i pielęgnacji rąk; uruchamianie łokciem lub grzbietem dłoni, plastikowy bez elementów metalowych i transparentnych, koloru białego; dostosowany do pojemników o poj. 500 ml; możliwość dezynfekcji wszystkich elementów dozownika (wyjmowana pompka dozująca) w myjniach dezynfektorach, regulowana ilość dozowanego preparatu (0,5ml, 1ml lub 1,5ml); dozowanie preparatów od góry pojemnika; możliwość szybkiego demontażu całego dozownika (np. w celu umycia lub dezynfekcji ściany) bez konieczności odkręcania śrub; możliwość zamontowania tacki zabezpieczającej (bez konieczności wiercenia dodatkowych otworów w ścianie i dozowniku) przed kapaniem podczas pobierania preparatu i zabezpieczającej powłoki akrylowe przed preparatami alkoholowymi; możliwość zamontowania do dozownika kolorowych ramion.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4678D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Szt.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56502" w14:textId="77777777" w:rsidR="00B64BC7" w:rsidRDefault="00B64BC7">
            <w:pPr>
              <w:snapToGrid w:val="0"/>
              <w:ind w:left="2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0"/>
              </w:rPr>
              <w:t>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1074B" w14:textId="3F69A1DC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color w:val="auto"/>
                <w:sz w:val="20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1B4F8" w14:textId="5AB72740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85726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42A77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FDF305" w14:textId="62729884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3FBE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</w:tr>
      <w:tr w:rsidR="00B64BC7" w14:paraId="654D0D17" w14:textId="0B5E0264" w:rsidTr="006B5449">
        <w:trPr>
          <w:gridAfter w:val="18"/>
          <w:wAfter w:w="1524" w:type="dxa"/>
          <w:trHeight w:val="406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5DF2B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24.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F2639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Pompka dozująca 1ml do butelki 500ml z płynem do dezynfekcji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A3BFD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Szt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>,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C263D" w14:textId="77777777" w:rsidR="00B64BC7" w:rsidRDefault="00B64BC7">
            <w:pPr>
              <w:shd w:val="clear" w:color="auto" w:fill="FFFFFF"/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  <w:r>
              <w:rPr>
                <w:rFonts w:ascii="Times New Roman" w:eastAsia="Arial" w:hAnsi="Times New Roman" w:cs="Times New Roman"/>
                <w:sz w:val="20"/>
                <w:highlight w:val="white"/>
              </w:rPr>
              <w:t>240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3B705" w14:textId="2B53EF84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111E1" w14:textId="52734612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7E77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87EE6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892B3F" w14:textId="6151E2EF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9CE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</w:tr>
      <w:tr w:rsidR="00B64BC7" w14:paraId="0D1A3D87" w14:textId="627DD582" w:rsidTr="006B5449">
        <w:trPr>
          <w:gridAfter w:val="18"/>
          <w:wAfter w:w="1524" w:type="dxa"/>
          <w:trHeight w:val="728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C1946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25.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27E2C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Uchwyt do butelki 500 ml ze środkiem dezynfekcyjnym do zawieszenia na łóżku szpitalnym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F65D4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>Szt.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25BFF" w14:textId="77777777" w:rsidR="00B64BC7" w:rsidRDefault="00B64BC7">
            <w:pPr>
              <w:shd w:val="clear" w:color="auto" w:fill="FFFFFF"/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  <w:r>
              <w:rPr>
                <w:rFonts w:ascii="Times New Roman" w:eastAsia="Arial" w:hAnsi="Times New Roman" w:cs="Times New Roman"/>
                <w:sz w:val="20"/>
                <w:highlight w:val="white"/>
              </w:rPr>
              <w:t>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00148" w14:textId="181AC5E4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DF11C" w14:textId="4E185FA9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7A3B9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0E746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50DAC" w14:textId="1D7BC2A5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B59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</w:tr>
      <w:tr w:rsidR="00B64BC7" w14:paraId="1D565574" w14:textId="68683C9F" w:rsidTr="006B5449">
        <w:trPr>
          <w:gridAfter w:val="18"/>
          <w:wAfter w:w="1524" w:type="dxa"/>
          <w:trHeight w:val="1281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726CE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lastRenderedPageBreak/>
              <w:t>26.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8809C" w14:textId="77777777" w:rsidR="00B64BC7" w:rsidRDefault="00B64BC7">
            <w:pPr>
              <w:snapToGrid w:val="0"/>
              <w:spacing w:line="100" w:lineRule="atLeast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 xml:space="preserve">Biologicznie aktywny roztwór, środek stosowany do płukania, oczyszczania i nawilżania ran ostrych, przewlekłych oraz zakażonych. Działanie antybakteryjne bakterie G(+), G(-) MRSA, VRE , przeciwzapalne, redukcja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biofilmu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 xml:space="preserve">, aktywna regeneracja tkanki. Likwidacja zarodników, wirusów oraz grzybów, redukcja nieprzyjemnego zapachu, neutralne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pH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>. Ogranicza rozwój drobnoustrojów poprzez eliminowanie jednokomórkowych patogenów, nie wywołując jednocześnie toksycznych czy drażniących reakcji dla zdrowych komórek.</w:t>
            </w:r>
          </w:p>
          <w:p w14:paraId="694A96FE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20"/>
              </w:rPr>
              <w:t xml:space="preserve">Wyrób medyczny klasy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</w:rPr>
              <w:t>IIb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F828F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0A48E" w14:textId="77777777" w:rsidR="00B64BC7" w:rsidRDefault="00B64BC7">
            <w:pPr>
              <w:shd w:val="clear" w:color="auto" w:fill="FFFFFF"/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szt.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5B820" w14:textId="1D26C263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5639D" w14:textId="56267A18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B5C86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9360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585F8D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91E2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</w:tr>
      <w:tr w:rsidR="00B64BC7" w14:paraId="2663D102" w14:textId="1EEB30B8" w:rsidTr="006B5449">
        <w:trPr>
          <w:gridAfter w:val="18"/>
          <w:wAfter w:w="1524" w:type="dxa"/>
          <w:trHeight w:val="1281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90395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27.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B26B3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Pianka myjąco-pielęgnująca służąca do delikatnego oczyszczania skóry,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br/>
              <w:t xml:space="preserve">nawilżająca i działająca przeciw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poddrażnieniom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skóry, do użycia zamiast wody i mydła; zawierająca składniki aktywne jak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biokompleks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lniany,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pantenol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, kwas mlekowy, olej lniany,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sinodor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86404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1AFC4" w14:textId="77777777" w:rsidR="00B64BC7" w:rsidRDefault="00B64BC7">
            <w:pPr>
              <w:shd w:val="clear" w:color="auto" w:fill="FFFFFF"/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szt.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60C288" w14:textId="4C197552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38417" w14:textId="72FC175E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F5866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F119B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EB713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D5E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</w:tr>
      <w:tr w:rsidR="00B64BC7" w14:paraId="182FC308" w14:textId="2D45844F" w:rsidTr="006B5449">
        <w:trPr>
          <w:gridAfter w:val="18"/>
          <w:wAfter w:w="1524" w:type="dxa"/>
          <w:trHeight w:val="1281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5F4C5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28.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C0881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Krem ochronny z argininą i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sinodorem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zapobiegający powstawaniu stanów zapalnych,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odparzeń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i odleżyn, łagodzący nieprzyjemne objawy suchości i napięcia skóry, wspomagający regenerację skóry;  charakteryzujący się dobrym wchłanianiem i pozostawiający na powierzchni skóry przeźroczysty ochronny film , zawierający aktywne składniki jak arginina,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alntoina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biokompleks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lniany,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pantenol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, masło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shea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, olej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canola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, olej z pestek winogron,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sinodor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EF5A8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32219" w14:textId="77777777" w:rsidR="00B64BC7" w:rsidRDefault="00B64BC7">
            <w:pPr>
              <w:shd w:val="clear" w:color="auto" w:fill="FFFFFF"/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 szt.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FDA6B" w14:textId="0737EABF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B23B2" w14:textId="07B6B484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541F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1C7C7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39E5C0" w14:textId="2FE6E2EC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9746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</w:tr>
      <w:tr w:rsidR="00B64BC7" w14:paraId="453CF6F9" w14:textId="75454AB1" w:rsidTr="006B5449">
        <w:trPr>
          <w:gridAfter w:val="18"/>
          <w:wAfter w:w="1524" w:type="dxa"/>
          <w:trHeight w:val="1281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9B9EF" w14:textId="77777777" w:rsidR="00B64BC7" w:rsidRDefault="00B64BC7">
            <w:pPr>
              <w:snapToGrid w:val="0"/>
              <w:ind w:left="46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29.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EF039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Krem ochronny z tlenkiem cynku i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sinodorem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do zabezpieczenia zagrożonych odleżynami i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odparzeniami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miejsc, zapobiegający powstawaniu stanów zapalnych, odleżyn i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odparzeń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; przyspieszający regenerację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poddrażnionej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skóry, naniesiony na skórę pozostawia na niej białą warstwę ochronną, zawierający aktywne składniki jak tlenek cynku,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biokompleks</w:t>
            </w:r>
            <w:proofErr w:type="spellEnd"/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lniany, ekstrakt z rumianku, </w:t>
            </w:r>
            <w:proofErr w:type="spellStart"/>
            <w:r>
              <w:rPr>
                <w:rFonts w:ascii="Times New Roman" w:eastAsia="Arial" w:hAnsi="Times New Roman" w:cs="Times New Roman"/>
                <w:sz w:val="20"/>
                <w:szCs w:val="20"/>
              </w:rPr>
              <w:t>sinodor</w:t>
            </w:r>
            <w:proofErr w:type="spellEnd"/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291D9" w14:textId="77777777" w:rsidR="00B64BC7" w:rsidRDefault="00B64BC7">
            <w:pPr>
              <w:snapToGrid w:val="0"/>
              <w:ind w:left="2" w:right="31"/>
              <w:jc w:val="center"/>
              <w:rPr>
                <w:rFonts w:ascii="Times New Roman" w:eastAsia="Arial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100ml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2152F" w14:textId="77777777" w:rsidR="00B64BC7" w:rsidRDefault="00B64BC7">
            <w:pPr>
              <w:shd w:val="clear" w:color="auto" w:fill="FFFFFF"/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szt.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3A6BB" w14:textId="2541A5BC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03B1D" w14:textId="07355D1C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87F94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34BDF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F294A3" w14:textId="479C4D4D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6893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  <w:highlight w:val="white"/>
              </w:rPr>
            </w:pPr>
          </w:p>
        </w:tc>
      </w:tr>
      <w:tr w:rsidR="00B64BC7" w14:paraId="0B99E076" w14:textId="77777777" w:rsidTr="006B5449">
        <w:trPr>
          <w:trHeight w:val="416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-5" w:type="dxa"/>
            </w:tcMar>
          </w:tcPr>
          <w:p w14:paraId="4EDB8C6B" w14:textId="77777777" w:rsidR="00B64BC7" w:rsidRDefault="00B64BC7">
            <w:pPr>
              <w:snapToGrid w:val="0"/>
              <w:ind w:left="46"/>
              <w:jc w:val="both"/>
              <w:rPr>
                <w:rFonts w:ascii="Times New Roman" w:eastAsia="Arial" w:hAnsi="Times New Roman" w:cs="Times New Roman"/>
                <w:b/>
                <w:sz w:val="20"/>
                <w:highlight w:val="white"/>
              </w:rPr>
            </w:pPr>
          </w:p>
        </w:tc>
        <w:tc>
          <w:tcPr>
            <w:tcW w:w="596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57A6B62B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b/>
                <w:sz w:val="20"/>
                <w:highlight w:val="white"/>
              </w:rPr>
            </w:pPr>
          </w:p>
        </w:tc>
        <w:tc>
          <w:tcPr>
            <w:tcW w:w="137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31A76C89" w14:textId="77777777" w:rsidR="00B64BC7" w:rsidRDefault="00B64BC7">
            <w:pPr>
              <w:snapToGrid w:val="0"/>
              <w:ind w:left="2" w:right="31"/>
              <w:rPr>
                <w:rFonts w:ascii="Times New Roman" w:eastAsia="Arial" w:hAnsi="Times New Roman" w:cs="Times New Roman"/>
                <w:b/>
                <w:sz w:val="20"/>
                <w:highlight w:val="white"/>
              </w:rPr>
            </w:pPr>
          </w:p>
        </w:tc>
        <w:tc>
          <w:tcPr>
            <w:tcW w:w="95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7EFB803C" w14:textId="77777777" w:rsidR="00B64BC7" w:rsidRDefault="00B64BC7">
            <w:pPr>
              <w:snapToGrid w:val="0"/>
              <w:ind w:left="2"/>
              <w:rPr>
                <w:rFonts w:ascii="Times New Roman" w:eastAsia="Arial" w:hAnsi="Times New Roman" w:cs="Times New Roman"/>
                <w:b/>
                <w:sz w:val="20"/>
                <w:highlight w:val="white"/>
              </w:rPr>
            </w:pPr>
          </w:p>
        </w:tc>
        <w:tc>
          <w:tcPr>
            <w:tcW w:w="1392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11736E0B" w14:textId="77777777" w:rsidR="00B64BC7" w:rsidRDefault="00B64BC7">
            <w:pPr>
              <w:snapToGrid w:val="0"/>
              <w:jc w:val="center"/>
              <w:rPr>
                <w:rFonts w:ascii="Times New Roman" w:eastAsia="Arial" w:hAnsi="Times New Roman" w:cs="Times New Roman"/>
                <w:b/>
                <w:sz w:val="20"/>
                <w:highlight w:val="white"/>
              </w:rPr>
            </w:pPr>
          </w:p>
        </w:tc>
        <w:tc>
          <w:tcPr>
            <w:tcW w:w="64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1451535F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-2" w:type="dxa"/>
            </w:tcMar>
          </w:tcPr>
          <w:p w14:paraId="0EF81FE8" w14:textId="77777777" w:rsidR="00B64BC7" w:rsidRDefault="00B64BC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-2" w:type="dxa"/>
            </w:tcMar>
          </w:tcPr>
          <w:p w14:paraId="5FECCA31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DA4121" w14:textId="77777777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tcMar>
              <w:top w:w="0" w:type="dxa"/>
              <w:left w:w="-2" w:type="dxa"/>
            </w:tcMar>
          </w:tcPr>
          <w:p w14:paraId="1A159B83" w14:textId="476BCE68" w:rsidR="00B64BC7" w:rsidRDefault="00B64BC7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49FB9EAC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3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5502FB28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51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6E6A2317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3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78D12954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3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0B2B8503" w14:textId="77777777" w:rsidR="00B64BC7" w:rsidRDefault="00B64BC7">
            <w:pPr>
              <w:snapToGrid w:val="0"/>
              <w:rPr>
                <w:rFonts w:ascii="Times New Roman" w:eastAsia="Arial" w:hAnsi="Times New Roman" w:cs="Times New Roman"/>
                <w:sz w:val="20"/>
              </w:rPr>
            </w:pPr>
          </w:p>
        </w:tc>
        <w:tc>
          <w:tcPr>
            <w:tcW w:w="3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1F9A838E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05B5B2A9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2693A93B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09CFF9E1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0AB1DE1F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64A2F346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5A5B9E1E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07CDCF00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7D8AEE44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55E39A8B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8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17AC9972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</w:tcMar>
          </w:tcPr>
          <w:p w14:paraId="538760D0" w14:textId="77777777" w:rsidR="00B64BC7" w:rsidRDefault="00B64BC7">
            <w:pPr>
              <w:snapToGrid w:val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2944BAA1" w14:textId="77777777" w:rsidR="00225EA1" w:rsidRDefault="00225EA1">
      <w:pPr>
        <w:spacing w:after="0"/>
        <w:ind w:right="6537"/>
        <w:rPr>
          <w:rFonts w:ascii="Times New Roman" w:hAnsi="Times New Roman" w:cs="Times New Roman"/>
        </w:rPr>
      </w:pPr>
    </w:p>
    <w:p w14:paraId="4CB868F6" w14:textId="77777777" w:rsidR="00225EA1" w:rsidRDefault="00225EA1">
      <w:pPr>
        <w:spacing w:after="0"/>
        <w:ind w:left="-5" w:right="6537" w:hanging="10"/>
        <w:rPr>
          <w:rFonts w:ascii="Times New Roman" w:hAnsi="Times New Roman" w:cs="Times New Roman"/>
        </w:rPr>
      </w:pPr>
    </w:p>
    <w:p w14:paraId="599F813A" w14:textId="77777777" w:rsidR="00225EA1" w:rsidRDefault="00225EA1">
      <w:pPr>
        <w:spacing w:after="0"/>
        <w:ind w:right="6537"/>
        <w:rPr>
          <w:rFonts w:ascii="Times New Roman" w:hAnsi="Times New Roman" w:cs="Times New Roman"/>
        </w:rPr>
      </w:pPr>
    </w:p>
    <w:p w14:paraId="572D826F" w14:textId="77777777" w:rsidR="00225EA1" w:rsidRDefault="00225EA1">
      <w:pPr>
        <w:spacing w:after="0"/>
        <w:ind w:right="6537"/>
        <w:rPr>
          <w:rFonts w:ascii="Times New Roman" w:hAnsi="Times New Roman" w:cs="Times New Roman"/>
        </w:rPr>
      </w:pPr>
    </w:p>
    <w:p w14:paraId="07F1B98A" w14:textId="77777777" w:rsidR="00225EA1" w:rsidRDefault="00225EA1">
      <w:pPr>
        <w:spacing w:after="0"/>
        <w:ind w:right="6537"/>
        <w:rPr>
          <w:rFonts w:ascii="Times New Roman" w:hAnsi="Times New Roman" w:cs="Times New Roman"/>
        </w:rPr>
      </w:pPr>
    </w:p>
    <w:p w14:paraId="5F67951C" w14:textId="77777777" w:rsidR="00225EA1" w:rsidRDefault="00225EA1">
      <w:pPr>
        <w:spacing w:after="0"/>
        <w:ind w:right="6537"/>
        <w:rPr>
          <w:rFonts w:ascii="Times New Roman" w:hAnsi="Times New Roman" w:cs="Times New Roman"/>
        </w:rPr>
      </w:pPr>
    </w:p>
    <w:p w14:paraId="23D032EF" w14:textId="77777777" w:rsidR="00225EA1" w:rsidRDefault="00225EA1">
      <w:pPr>
        <w:spacing w:after="0"/>
        <w:ind w:right="6537"/>
        <w:rPr>
          <w:rFonts w:ascii="Times New Roman" w:hAnsi="Times New Roman" w:cs="Times New Roman"/>
        </w:rPr>
      </w:pPr>
    </w:p>
    <w:p w14:paraId="053EB38D" w14:textId="77777777" w:rsidR="00225EA1" w:rsidRDefault="00225EA1">
      <w:pPr>
        <w:spacing w:after="0"/>
        <w:ind w:right="6537"/>
        <w:rPr>
          <w:rFonts w:ascii="Times New Roman" w:hAnsi="Times New Roman" w:cs="Times New Roman"/>
        </w:rPr>
      </w:pPr>
    </w:p>
    <w:p w14:paraId="6E6E34AD" w14:textId="77777777" w:rsidR="00225EA1" w:rsidRDefault="00225EA1">
      <w:pPr>
        <w:spacing w:after="0"/>
        <w:ind w:right="6537"/>
        <w:rPr>
          <w:rFonts w:ascii="Times New Roman" w:hAnsi="Times New Roman" w:cs="Times New Roman"/>
        </w:rPr>
      </w:pPr>
    </w:p>
    <w:sectPr w:rsidR="00225EA1">
      <w:footerReference w:type="even" r:id="rId7"/>
      <w:footerReference w:type="default" r:id="rId8"/>
      <w:pgSz w:w="16838" w:h="11906" w:orient="landscape"/>
      <w:pgMar w:top="284" w:right="559" w:bottom="709" w:left="286" w:header="0" w:footer="638" w:gutter="0"/>
      <w:cols w:space="708"/>
      <w:formProt w:val="0"/>
      <w:docGrid w:linePitch="24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09408" w14:textId="77777777" w:rsidR="00A964A2" w:rsidRDefault="00A964A2">
      <w:pPr>
        <w:spacing w:after="0" w:line="240" w:lineRule="auto"/>
      </w:pPr>
      <w:r>
        <w:separator/>
      </w:r>
    </w:p>
  </w:endnote>
  <w:endnote w:type="continuationSeparator" w:id="0">
    <w:p w14:paraId="2F8C649C" w14:textId="77777777" w:rsidR="00A964A2" w:rsidRDefault="00A9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541CA" w14:textId="77777777" w:rsidR="00225EA1" w:rsidRDefault="00140D17">
    <w:pPr>
      <w:spacing w:after="0"/>
      <w:ind w:left="-110" w:right="55"/>
      <w:jc w:val="center"/>
    </w:pPr>
    <w:r>
      <w:rPr>
        <w:rFonts w:ascii="Arial" w:eastAsia="Arial" w:hAnsi="Arial" w:cs="Arial"/>
        <w:sz w:val="18"/>
      </w:rPr>
      <w:t xml:space="preserve">     </w:t>
    </w:r>
    <w:r>
      <w:fldChar w:fldCharType="begin"/>
    </w:r>
    <w:r>
      <w:instrText>PAGE</w:instrText>
    </w:r>
    <w:r>
      <w:fldChar w:fldCharType="separate"/>
    </w:r>
    <w:r>
      <w:t>14</w:t>
    </w:r>
    <w:r>
      <w:fldChar w:fldCharType="end"/>
    </w:r>
    <w:r>
      <w:rPr>
        <w:rFonts w:ascii="Arial" w:eastAsia="Arial" w:hAnsi="Arial" w:cs="Arial"/>
        <w:sz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63C8F" w14:textId="77777777" w:rsidR="00225EA1" w:rsidRDefault="00140D17">
    <w:pPr>
      <w:spacing w:after="0"/>
      <w:ind w:right="55"/>
      <w:jc w:val="center"/>
    </w:pPr>
    <w:r>
      <w:rPr>
        <w:rFonts w:ascii="Arial" w:eastAsia="Arial" w:hAnsi="Arial" w:cs="Arial"/>
        <w:sz w:val="18"/>
      </w:rPr>
      <w:t xml:space="preserve">    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rFonts w:ascii="Arial" w:eastAsia="Arial" w:hAnsi="Arial" w:cs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0B936" w14:textId="77777777" w:rsidR="00A964A2" w:rsidRDefault="00A964A2">
      <w:pPr>
        <w:spacing w:after="0" w:line="240" w:lineRule="auto"/>
      </w:pPr>
      <w:r>
        <w:separator/>
      </w:r>
    </w:p>
  </w:footnote>
  <w:footnote w:type="continuationSeparator" w:id="0">
    <w:p w14:paraId="2DD55F2E" w14:textId="77777777" w:rsidR="00A964A2" w:rsidRDefault="00A964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EA1"/>
    <w:rsid w:val="00017A61"/>
    <w:rsid w:val="00140D17"/>
    <w:rsid w:val="00205A4F"/>
    <w:rsid w:val="00225EA1"/>
    <w:rsid w:val="002276FA"/>
    <w:rsid w:val="00515413"/>
    <w:rsid w:val="005664C7"/>
    <w:rsid w:val="005C0004"/>
    <w:rsid w:val="00634455"/>
    <w:rsid w:val="006B5449"/>
    <w:rsid w:val="006C717F"/>
    <w:rsid w:val="007442D1"/>
    <w:rsid w:val="008C2971"/>
    <w:rsid w:val="008F720B"/>
    <w:rsid w:val="00905B72"/>
    <w:rsid w:val="00950C88"/>
    <w:rsid w:val="00A106CD"/>
    <w:rsid w:val="00A964A2"/>
    <w:rsid w:val="00AC6C5A"/>
    <w:rsid w:val="00B3566A"/>
    <w:rsid w:val="00B64BC7"/>
    <w:rsid w:val="00C951F6"/>
    <w:rsid w:val="00D44CA1"/>
    <w:rsid w:val="00D46A98"/>
    <w:rsid w:val="00D50CA4"/>
    <w:rsid w:val="00DA1184"/>
    <w:rsid w:val="00E8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88A1"/>
  <w15:docId w15:val="{11343686-EC3B-4F69-9396-9F8373812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045"/>
    <w:pPr>
      <w:suppressAutoHyphens/>
      <w:spacing w:after="160" w:line="252" w:lineRule="auto"/>
    </w:pPr>
    <w:rPr>
      <w:rFonts w:ascii="Calibri" w:eastAsia="Calibri" w:hAnsi="Calibri" w:cs="Calibri"/>
      <w:color w:val="000000"/>
      <w:kern w:val="2"/>
      <w:sz w:val="22"/>
      <w:szCs w:val="22"/>
      <w:lang w:bidi="ar-SA"/>
    </w:rPr>
  </w:style>
  <w:style w:type="paragraph" w:styleId="Nagwek1">
    <w:name w:val="heading 1"/>
    <w:basedOn w:val="Normalny"/>
    <w:link w:val="Nagwek1Znak"/>
    <w:uiPriority w:val="9"/>
    <w:qFormat/>
    <w:rsid w:val="00350A2A"/>
    <w:pPr>
      <w:suppressAutoHyphens w:val="0"/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Domylnaczcionkaakapitu1">
    <w:name w:val="Domyślna czcionka akapitu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apple-style-span">
    <w:name w:val="apple-style-span"/>
    <w:qFormat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055CB"/>
    <w:rPr>
      <w:rFonts w:ascii="Calibri" w:eastAsia="Calibri" w:hAnsi="Calibri" w:cs="Calibri"/>
      <w:color w:val="000000"/>
      <w:kern w:val="2"/>
      <w:sz w:val="22"/>
      <w:szCs w:val="22"/>
      <w:lang w:bidi="ar-SA"/>
    </w:rPr>
  </w:style>
  <w:style w:type="character" w:customStyle="1" w:styleId="AkapitzlistZnak">
    <w:name w:val="Akapit z listą Znak"/>
    <w:link w:val="Akapitzlist"/>
    <w:uiPriority w:val="34"/>
    <w:qFormat/>
    <w:locked/>
    <w:rsid w:val="006055CB"/>
  </w:style>
  <w:style w:type="character" w:customStyle="1" w:styleId="ListLabel1">
    <w:name w:val="ListLabel 1"/>
    <w:qFormat/>
    <w:rPr>
      <w:rFonts w:cs="Calibri"/>
      <w:b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350A2A"/>
    <w:rPr>
      <w:rFonts w:ascii="Times New Roman" w:eastAsia="Times New Roman" w:hAnsi="Times New Roman" w:cs="Times New Roman"/>
      <w:b/>
      <w:bCs/>
      <w:kern w:val="2"/>
      <w:sz w:val="48"/>
      <w:szCs w:val="48"/>
      <w:lang w:eastAsia="pl-PL" w:bidi="ar-SA"/>
    </w:rPr>
  </w:style>
  <w:style w:type="paragraph" w:styleId="Nagwek">
    <w:name w:val="header"/>
    <w:basedOn w:val="Normalny"/>
    <w:next w:val="Tekstpodstawow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Lucida Sans Unicode" w:hAnsi="Liberation Sans;Arial" w:cs="Mang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next w:val="Tekstpodstawowywcity"/>
    <w:uiPriority w:val="99"/>
    <w:qFormat/>
    <w:rsid w:val="006055CB"/>
    <w:pPr>
      <w:spacing w:before="280" w:after="119" w:line="259" w:lineRule="auto"/>
    </w:pPr>
    <w:rPr>
      <w:rFonts w:asciiTheme="minorHAnsi" w:eastAsiaTheme="minorHAnsi" w:hAnsiTheme="minorHAnsi" w:cstheme="minorBidi"/>
      <w:color w:val="auto"/>
      <w:kern w:val="0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055CB"/>
    <w:pPr>
      <w:spacing w:after="120"/>
      <w:ind w:left="283"/>
    </w:pPr>
  </w:style>
  <w:style w:type="paragraph" w:styleId="Akapitzlist">
    <w:name w:val="List Paragraph"/>
    <w:basedOn w:val="Normalny"/>
    <w:link w:val="AkapitzlistZnak"/>
    <w:uiPriority w:val="34"/>
    <w:qFormat/>
    <w:rsid w:val="006055CB"/>
    <w:pPr>
      <w:ind w:left="720"/>
      <w:contextualSpacing/>
    </w:pPr>
    <w:rPr>
      <w:rFonts w:ascii="Liberation Serif" w:eastAsia="NSimSun" w:hAnsi="Liberation Serif" w:cs="Arial"/>
      <w:color w:val="auto"/>
      <w:kern w:val="0"/>
      <w:sz w:val="20"/>
      <w:szCs w:val="24"/>
      <w:lang w:bidi="hi-IN"/>
    </w:rPr>
  </w:style>
  <w:style w:type="paragraph" w:customStyle="1" w:styleId="Default">
    <w:name w:val="Default"/>
    <w:qFormat/>
    <w:rsid w:val="00062543"/>
    <w:pPr>
      <w:suppressAutoHyphens/>
    </w:pPr>
    <w:rPr>
      <w:rFonts w:ascii="Tahoma" w:eastAsia="Calibri" w:hAnsi="Tahoma" w:cs="Tahoma"/>
      <w:color w:val="000000"/>
      <w:sz w:val="22"/>
      <w:lang w:eastAsia="en-US" w:bidi="ar-SA"/>
    </w:rPr>
  </w:style>
  <w:style w:type="paragraph" w:customStyle="1" w:styleId="p1">
    <w:name w:val="p1"/>
    <w:basedOn w:val="Normalny"/>
    <w:qFormat/>
    <w:rsid w:val="008E4454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17"/>
      <w:szCs w:val="1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39541-FC54-4282-A68E-1C9611E9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Estera Urbaniak</cp:lastModifiedBy>
  <cp:revision>3</cp:revision>
  <cp:lastPrinted>2025-03-04T12:26:00Z</cp:lastPrinted>
  <dcterms:created xsi:type="dcterms:W3CDTF">2026-03-20T11:07:00Z</dcterms:created>
  <dcterms:modified xsi:type="dcterms:W3CDTF">2026-04-09T10:44:00Z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